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0A2A8E0C" w:rsidR="00A70556" w:rsidRDefault="00904F35" w:rsidP="0034573D">
            <w:pPr>
              <w:spacing w:after="0" w:line="276" w:lineRule="auto"/>
            </w:pPr>
            <w:r>
              <w:t>Evaluación de Desempeño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904F35" w14:paraId="1D014C1E" w14:textId="77777777" w:rsidTr="009F4211">
        <w:trPr>
          <w:trHeight w:val="340"/>
        </w:trPr>
        <w:tc>
          <w:tcPr>
            <w:tcW w:w="4712" w:type="dxa"/>
            <w:gridSpan w:val="2"/>
            <w:shd w:val="clear" w:color="auto" w:fill="auto"/>
            <w:vAlign w:val="center"/>
          </w:tcPr>
          <w:p w14:paraId="404D8B68" w14:textId="104B7CBE" w:rsidR="00B861E0" w:rsidRPr="00904F35" w:rsidRDefault="00904F35" w:rsidP="00A123E6">
            <w:pPr>
              <w:spacing w:after="0" w:line="276" w:lineRule="auto"/>
              <w:jc w:val="center"/>
              <w:rPr>
                <w:bCs/>
              </w:rPr>
            </w:pPr>
            <w:r w:rsidRPr="00904F35">
              <w:rPr>
                <w:bCs/>
              </w:rPr>
              <w:t>01/07/2023</w:t>
            </w:r>
          </w:p>
        </w:tc>
        <w:tc>
          <w:tcPr>
            <w:tcW w:w="5206" w:type="dxa"/>
            <w:gridSpan w:val="2"/>
            <w:shd w:val="clear" w:color="auto" w:fill="auto"/>
            <w:vAlign w:val="center"/>
          </w:tcPr>
          <w:p w14:paraId="79E9E4F4" w14:textId="722769D8" w:rsidR="00B861E0" w:rsidRPr="00904F35" w:rsidRDefault="00904F35" w:rsidP="00A123E6">
            <w:pPr>
              <w:spacing w:after="0" w:line="276" w:lineRule="auto"/>
              <w:jc w:val="center"/>
              <w:rPr>
                <w:bCs/>
              </w:rPr>
            </w:pPr>
            <w:r w:rsidRPr="00904F35">
              <w:rPr>
                <w:bCs/>
              </w:rPr>
              <w:t>31/12/2023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904F35" w14:paraId="37454C6A" w14:textId="77777777" w:rsidTr="00E06043">
        <w:trPr>
          <w:trHeight w:val="340"/>
        </w:trPr>
        <w:tc>
          <w:tcPr>
            <w:tcW w:w="9918" w:type="dxa"/>
            <w:gridSpan w:val="4"/>
            <w:shd w:val="clear" w:color="auto" w:fill="auto"/>
          </w:tcPr>
          <w:p w14:paraId="78C4F704" w14:textId="23E583D7" w:rsidR="009F4211" w:rsidRPr="00904F35" w:rsidRDefault="00904F35" w:rsidP="009F4211">
            <w:pPr>
              <w:pStyle w:val="Prrafodelista"/>
              <w:spacing w:after="0" w:line="276" w:lineRule="auto"/>
              <w:ind w:left="37"/>
              <w:jc w:val="both"/>
              <w:rPr>
                <w:bCs/>
              </w:rPr>
            </w:pPr>
            <w:r w:rsidRPr="00904F35">
              <w:rPr>
                <w:bCs/>
              </w:rPr>
              <w:t>Ing. Joshua Normando Patraca Meza, Titular del Órgano Interno de Control</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3744BE58" w:rsidR="00B920F2" w:rsidRDefault="00904F35" w:rsidP="00521401">
      <w:pPr>
        <w:pStyle w:val="Prrafodelista"/>
        <w:spacing w:after="0" w:line="276" w:lineRule="auto"/>
        <w:ind w:left="142"/>
        <w:jc w:val="both"/>
      </w:pPr>
      <w:r w:rsidRPr="00904F35">
        <w:t>Contar con una valoración del desempeño de E115 Atención a Personas con Discapacidad en su ejercicio fiscal 2022,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317B294F" w14:textId="77777777" w:rsidR="00904F35" w:rsidRDefault="00904F35" w:rsidP="00904F35">
      <w:pPr>
        <w:pStyle w:val="Prrafodelista"/>
        <w:numPr>
          <w:ilvl w:val="0"/>
          <w:numId w:val="2"/>
        </w:numPr>
        <w:spacing w:after="0" w:line="276" w:lineRule="auto"/>
        <w:jc w:val="both"/>
      </w:pPr>
      <w:r>
        <w:t>Reportar los resultados y productos de los programas evaluados durante el ejercicio fiscal 2022 y enlistados en el Anexo II, mediante el análisis de los indicadores de resultados, de los indicadores de servicios y gestión, así como de los hallazgos relevantes derivados de evaluaciones previas (en caso de aplicar) y otros documentos del programa;</w:t>
      </w:r>
    </w:p>
    <w:p w14:paraId="5CEC7791" w14:textId="77777777" w:rsidR="00904F35" w:rsidRDefault="00904F35" w:rsidP="00904F35">
      <w:pPr>
        <w:pStyle w:val="Prrafodelista"/>
        <w:numPr>
          <w:ilvl w:val="0"/>
          <w:numId w:val="2"/>
        </w:numPr>
        <w:spacing w:after="0" w:line="276" w:lineRule="auto"/>
        <w:jc w:val="both"/>
      </w:pPr>
      <w:r>
        <w:t>Analizar el avance de las metas de los indicadores de la Matriz de Indicadores para Resultados (MIR) en el ejercicio fiscal 2022, respecto de años anteriores y el avance en relación con las metas establecidas;</w:t>
      </w:r>
    </w:p>
    <w:p w14:paraId="76B3D488" w14:textId="77777777" w:rsidR="00904F35" w:rsidRDefault="00904F35" w:rsidP="00904F35">
      <w:pPr>
        <w:pStyle w:val="Prrafodelista"/>
        <w:numPr>
          <w:ilvl w:val="0"/>
          <w:numId w:val="2"/>
        </w:numPr>
        <w:spacing w:after="0" w:line="276" w:lineRule="auto"/>
        <w:jc w:val="both"/>
      </w:pPr>
      <w:r>
        <w:t>Identificar los principales aspectos susceptibles de mejora del programa;</w:t>
      </w:r>
    </w:p>
    <w:p w14:paraId="6BED63F5" w14:textId="77777777" w:rsidR="00904F35" w:rsidRDefault="00904F35" w:rsidP="00904F35">
      <w:pPr>
        <w:pStyle w:val="Prrafodelista"/>
        <w:numPr>
          <w:ilvl w:val="0"/>
          <w:numId w:val="2"/>
        </w:numPr>
        <w:spacing w:after="0" w:line="276" w:lineRule="auto"/>
        <w:jc w:val="both"/>
      </w:pPr>
      <w:r>
        <w:t>Analizar la evolución de la cobertura y el presupuesto del programa;</w:t>
      </w:r>
    </w:p>
    <w:p w14:paraId="0D20A644" w14:textId="77777777" w:rsidR="00904F35" w:rsidRDefault="00904F35" w:rsidP="00904F35">
      <w:pPr>
        <w:pStyle w:val="Prrafodelista"/>
        <w:numPr>
          <w:ilvl w:val="0"/>
          <w:numId w:val="2"/>
        </w:numPr>
        <w:spacing w:after="0" w:line="276" w:lineRule="auto"/>
        <w:jc w:val="both"/>
      </w:pPr>
      <w:r>
        <w:t>Identificar las fortalezas, los retos y las recomendaciones del programa;</w:t>
      </w:r>
    </w:p>
    <w:p w14:paraId="2CCD5C65" w14:textId="431EF985" w:rsidR="009B7088" w:rsidRDefault="00904F35" w:rsidP="00904F35">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2BC191A9"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904F35">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EADF10E" w:rsidR="00581B4A" w:rsidRPr="00581B4A" w:rsidRDefault="00EC7832" w:rsidP="00904F35">
            <w:pPr>
              <w:spacing w:after="0" w:line="276" w:lineRule="auto"/>
              <w:jc w:val="center"/>
              <w:rPr>
                <w:b/>
                <w:bCs/>
              </w:rPr>
            </w:pPr>
            <w:r>
              <w:t>d</w:t>
            </w:r>
            <w:r w:rsidR="0034573D">
              <w:t xml:space="preserve">e </w:t>
            </w:r>
            <w:r w:rsidR="00904F35">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8D028D7" w14:textId="77777777" w:rsidR="00904F35" w:rsidRDefault="00904F35" w:rsidP="00904F35">
      <w:pPr>
        <w:ind w:left="284"/>
        <w:jc w:val="both"/>
      </w:pPr>
      <w:r>
        <w:t xml:space="preserve">El programa E115 Atención a personas con Discapacidad busca generar las condiciones que permitan atender a personas con discapacidad mediante el acceso a los servicios de rehabilitación a usuarios, dentro de los servicios de atención se busca acaparar a personas con discapacidad motora, visual, auditiva, de lenguaje, intelectual y/o mixta en el estado de Sinaloa. Lo anterior, con objeto de contribuir a que las personas con Discapacidad cuenten con medios para inclusión social. </w:t>
      </w:r>
    </w:p>
    <w:p w14:paraId="54BB8018" w14:textId="77777777" w:rsidR="00904F35" w:rsidRDefault="00904F35" w:rsidP="00904F35">
      <w:pPr>
        <w:ind w:left="284"/>
        <w:jc w:val="both"/>
      </w:pPr>
      <w:r>
        <w:t>A su vez, con las atenciones que este programa ofrece, se busca contribuir con acciones y programas para garantizar la inclusión de personas de algún tipo de discapacidad, para ello; nuestra infraestructura física, instalaciones, mobiliario y equipamiento cuenta con los requerimientos y especificaciones suficientes para ofrecer a los usuarios calidad, seguridad y eficiencia; logrando de esta manera una política de calidad que guía en el trabajo diario y nos orienta dar el mejor esfuerzo siempre en beneficio de ellos. Por su parte, como estrategias de operación, se tiene brindan una atención integral, partiendo de una mejora en la infraestructura en materia de rehabilitación física, coordinar esfuerzos con instituciones educativas y dar acceso a población con discapacidad para que reciba formación técnica, así como ampliar la concientización del sector empresarial y lograr un mayor número de espacios de trabajo que fortalezcan la inclusión laboral de personas con discapacidad.</w:t>
      </w:r>
    </w:p>
    <w:p w14:paraId="76A64F9A" w14:textId="382DF734" w:rsidR="00113BCD" w:rsidRPr="002F6A18" w:rsidRDefault="00904F35" w:rsidP="00904F35">
      <w:pPr>
        <w:ind w:left="284"/>
        <w:jc w:val="both"/>
      </w:pPr>
      <w:r>
        <w:t>Dicho programa se encuentra operando desde el ejercicio 2016 y es administrado por el Sistema para el Desarrollo Integral de la Familia del Estado de Sinaloa, en el que el área responsable de operarlo es la Dirección de Rehabilitación y Medicina Social. En lo que respecta al factor presupuestal se ha incrementado, tomando como referencia el ejercicio fiscal 2021, se tuvo un incremento de $353,360.00 (trescientos cincuenta y tres mil trescientos sesenta), teniendo un presupuesto ejercido en el ejercicio fiscal 2021 de $2,635,194.00 (dos millones seiscientos treinta y cinco mil ciento noventa y cuatro) y en el ejercicio fiscal 2022 de $2,988,554.00 (dos millones novecientos ochenta y ocho mil quinientos cincuenta y cuatro).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06BF7C3E" w14:textId="77777777" w:rsidR="00AB657D" w:rsidRDefault="00AB657D" w:rsidP="00AB657D">
      <w:pPr>
        <w:pStyle w:val="Prrafodelista"/>
        <w:numPr>
          <w:ilvl w:val="0"/>
          <w:numId w:val="8"/>
        </w:numPr>
        <w:spacing w:line="276" w:lineRule="auto"/>
      </w:pPr>
      <w:r>
        <w:t>Contribuye con la rehabilitación integral de las Personas con Discapacidad del Estado de Sinaloa.</w:t>
      </w:r>
    </w:p>
    <w:p w14:paraId="7B0E04E7" w14:textId="77777777" w:rsidR="00AB657D" w:rsidRDefault="00AB657D" w:rsidP="00AB657D">
      <w:pPr>
        <w:pStyle w:val="Prrafodelista"/>
        <w:numPr>
          <w:ilvl w:val="0"/>
          <w:numId w:val="8"/>
        </w:numPr>
        <w:spacing w:line="276" w:lineRule="auto"/>
      </w:pPr>
      <w:r>
        <w:t>Cuenta con una red de rehabilitación en todo el Estado, para poder atender a toda población con discapacidad.</w:t>
      </w:r>
    </w:p>
    <w:p w14:paraId="63DEFC77" w14:textId="77777777" w:rsidR="00AB657D" w:rsidRDefault="00AB657D" w:rsidP="00AB657D">
      <w:pPr>
        <w:pStyle w:val="Prrafodelista"/>
        <w:numPr>
          <w:ilvl w:val="0"/>
          <w:numId w:val="8"/>
        </w:numPr>
        <w:spacing w:line="276" w:lineRule="auto"/>
      </w:pPr>
      <w:r>
        <w:t>Los Centros de Rehabilitación, cuentan con el personal médico y paramédico, para brindar una servició con calidad y calidez.</w:t>
      </w:r>
    </w:p>
    <w:p w14:paraId="7C884675" w14:textId="77777777" w:rsidR="00AB657D" w:rsidRDefault="00AB657D" w:rsidP="00AB657D">
      <w:pPr>
        <w:pStyle w:val="Prrafodelista"/>
        <w:numPr>
          <w:ilvl w:val="0"/>
          <w:numId w:val="8"/>
        </w:numPr>
        <w:spacing w:line="276" w:lineRule="auto"/>
      </w:pPr>
      <w:r>
        <w:t>Se tiene equipo biomédico para el diagnóstico y tratamiento de las Personas con Discapacidad.</w:t>
      </w:r>
    </w:p>
    <w:p w14:paraId="1303DF8E" w14:textId="77777777" w:rsidR="00AB657D" w:rsidRDefault="00AB657D" w:rsidP="00AB657D">
      <w:pPr>
        <w:pStyle w:val="Prrafodelista"/>
        <w:numPr>
          <w:ilvl w:val="0"/>
          <w:numId w:val="8"/>
        </w:numPr>
        <w:spacing w:line="276" w:lineRule="auto"/>
      </w:pPr>
      <w:r>
        <w:t>Contribuye a mejorar la calidad de vida de las Personas con Discapacidad y de su familia.</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7F65C254" w14:textId="77777777" w:rsidR="00AB657D" w:rsidRDefault="00AB657D" w:rsidP="00AB657D">
      <w:pPr>
        <w:pStyle w:val="Prrafodelista"/>
        <w:numPr>
          <w:ilvl w:val="0"/>
          <w:numId w:val="8"/>
        </w:numPr>
        <w:spacing w:line="276" w:lineRule="auto"/>
      </w:pPr>
      <w:r>
        <w:t>Buscar la coordinación con SNDIF, para obtener apoyos de capacitación en materia de Rehabilitación y de equipo biomédico.</w:t>
      </w:r>
    </w:p>
    <w:p w14:paraId="7DDD0FBE" w14:textId="77777777" w:rsidR="00AB657D" w:rsidRDefault="00AB657D" w:rsidP="00AB657D">
      <w:pPr>
        <w:pStyle w:val="Prrafodelista"/>
        <w:numPr>
          <w:ilvl w:val="0"/>
          <w:numId w:val="8"/>
        </w:numPr>
        <w:spacing w:line="276" w:lineRule="auto"/>
      </w:pPr>
      <w:r>
        <w:t>Continuar con la coordinación con los DMDIF para lograr una máxima cobertura de atención de las Personas con Discapacidad del estado de Sinaloa.</w:t>
      </w:r>
    </w:p>
    <w:p w14:paraId="24B1D659" w14:textId="77777777" w:rsidR="00AB657D" w:rsidRDefault="00AB657D" w:rsidP="00AB657D">
      <w:pPr>
        <w:pStyle w:val="Prrafodelista"/>
        <w:numPr>
          <w:ilvl w:val="0"/>
          <w:numId w:val="8"/>
        </w:numPr>
        <w:spacing w:line="276" w:lineRule="auto"/>
      </w:pPr>
      <w:r>
        <w:lastRenderedPageBreak/>
        <w:t>Seguir contando con recursos financieros de parte de Gobierno del Estado, para llevar a cabo el programa</w:t>
      </w:r>
    </w:p>
    <w:p w14:paraId="1B8DC883" w14:textId="5578E494" w:rsidR="00AB657D" w:rsidRDefault="00AB657D" w:rsidP="00AB657D">
      <w:pPr>
        <w:pStyle w:val="Prrafodelista"/>
        <w:numPr>
          <w:ilvl w:val="0"/>
          <w:numId w:val="8"/>
        </w:numPr>
        <w:spacing w:line="276" w:lineRule="auto"/>
      </w:pPr>
      <w:r>
        <w:t>Aumentar la atención de nuestra población objetivo.</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6E4C9629" w14:textId="77777777" w:rsidR="00AB657D" w:rsidRDefault="00AB657D" w:rsidP="00AB657D">
      <w:pPr>
        <w:pStyle w:val="Prrafodelista"/>
        <w:numPr>
          <w:ilvl w:val="0"/>
          <w:numId w:val="8"/>
        </w:numPr>
        <w:spacing w:line="276" w:lineRule="auto"/>
      </w:pPr>
      <w:r>
        <w:t>Recursos económicos deficientes para cubrir la atención de la demanda de las Personas con Discapacidad.</w:t>
      </w:r>
    </w:p>
    <w:p w14:paraId="2B9A6FDC" w14:textId="0B2983DB" w:rsidR="00AB657D" w:rsidRDefault="00AB657D" w:rsidP="00AB657D">
      <w:pPr>
        <w:pStyle w:val="Prrafodelista"/>
        <w:numPr>
          <w:ilvl w:val="0"/>
          <w:numId w:val="8"/>
        </w:numPr>
        <w:spacing w:line="276" w:lineRule="auto"/>
      </w:pPr>
      <w:r>
        <w:t>Baja capacidad de atender a las Personas con Discapacidad debido a la alta demanda de atención.</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7DCB3DBC" w14:textId="77777777" w:rsidR="00AB657D" w:rsidRDefault="00AB657D" w:rsidP="00AB657D">
      <w:pPr>
        <w:pStyle w:val="Prrafodelista"/>
        <w:numPr>
          <w:ilvl w:val="0"/>
          <w:numId w:val="8"/>
        </w:numPr>
        <w:spacing w:line="276" w:lineRule="auto"/>
      </w:pPr>
      <w:r>
        <w:t>Apatía de las Personas con Discapacidad y de los familiares para acudir a recibir su Rehabilitación Integral.</w:t>
      </w:r>
    </w:p>
    <w:p w14:paraId="6843B50F" w14:textId="790C5293" w:rsidR="00904F35" w:rsidRDefault="00AB657D" w:rsidP="00AB657D">
      <w:pPr>
        <w:pStyle w:val="Prrafodelista"/>
        <w:numPr>
          <w:ilvl w:val="0"/>
          <w:numId w:val="8"/>
        </w:numPr>
        <w:spacing w:line="276" w:lineRule="auto"/>
      </w:pPr>
      <w:r>
        <w:t>Instauración de pandemias, que pongan en riesgo la salud de los Sinaloenses</w:t>
      </w:r>
      <w:r w:rsidR="00904F35">
        <w:t>.</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E06C01A" w14:textId="77777777" w:rsidR="00904F35" w:rsidRPr="00904F35" w:rsidRDefault="00904F35" w:rsidP="00904F35">
      <w:pPr>
        <w:spacing w:line="276" w:lineRule="auto"/>
        <w:ind w:left="284"/>
        <w:jc w:val="both"/>
        <w:rPr>
          <w:lang w:val="es-ES"/>
        </w:rPr>
      </w:pPr>
      <w:r w:rsidRPr="00904F35">
        <w:rPr>
          <w:lang w:val="es-ES"/>
        </w:rPr>
        <w:t xml:space="preserve">Para el ejercicio fiscal 2022, el programa contaba con una población objetivo de 8,000 personas con discapacidad, logrando atender a 10,910 personas en alrededor de los 18 municipios del Estado de Sinaloa y de Baja California Norte, Baja California Sur, CDMX, Chiapas, Chihuahua, Durango, Guerrero, Jalisco, Nayarit, Oaxaca, Sonora, Tamaulipas, Alemania, Estados Unidos de Norteamérica y Colombia. Lo anterior, permitió que un porcentaje mayor de personas con discapacidad del Estado de Sinaloa tuviese acceso a la atención, en donde se logró abarcar a personas de todos los municipios. </w:t>
      </w:r>
    </w:p>
    <w:p w14:paraId="240488CD" w14:textId="77777777" w:rsidR="00904F35" w:rsidRPr="00904F35" w:rsidRDefault="00904F35" w:rsidP="00904F35">
      <w:pPr>
        <w:spacing w:line="276" w:lineRule="auto"/>
        <w:ind w:left="284"/>
        <w:jc w:val="both"/>
        <w:rPr>
          <w:lang w:val="es-ES"/>
        </w:rPr>
      </w:pPr>
      <w:r w:rsidRPr="00904F35">
        <w:rPr>
          <w:lang w:val="es-ES"/>
        </w:rPr>
        <w:t>Con esto, pasamos de un 4.1% a un 5.6% de atención respecto a la población total con discapacidad del Estado de Sinaloa.</w:t>
      </w:r>
    </w:p>
    <w:p w14:paraId="31F36EB1" w14:textId="5D00F4C4" w:rsidR="00113BCD" w:rsidRDefault="00904F35" w:rsidP="00904F35">
      <w:pPr>
        <w:spacing w:line="276" w:lineRule="auto"/>
        <w:ind w:left="284"/>
        <w:jc w:val="both"/>
        <w:rPr>
          <w:lang w:val="es-ES"/>
        </w:rPr>
      </w:pPr>
      <w:r w:rsidRPr="00904F35">
        <w:rPr>
          <w:lang w:val="es-ES"/>
        </w:rPr>
        <w:t>Cabe mencionar que el objetivo del programa es atender a las personas con discapacidad y en potencial riesgo de adquirirla, mediante la contribución al bienestar de las familias Sinaloenses a través de la atención especializada y apoyos en rehabilitación física, psicológica, auditiva, de lenguaje, neuromotora e intelectual a personas con discapacidad, con el propósito de facilitar su integración familiar, social y laboral, apegándose en todo momento a las garantías de nuestra constitución y de las leyes que de ella emanan.</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43DB645A" w14:textId="77777777" w:rsidR="00904F35" w:rsidRDefault="00904F35" w:rsidP="00571555">
      <w:pPr>
        <w:pStyle w:val="Prrafodelista"/>
        <w:numPr>
          <w:ilvl w:val="0"/>
          <w:numId w:val="2"/>
        </w:numPr>
        <w:spacing w:after="0" w:line="276" w:lineRule="auto"/>
        <w:jc w:val="both"/>
      </w:pPr>
      <w:r>
        <w:t>Llevar un adecuado mantenimiento de las instalaciones y el equipo biomédico para garantizar una atención de calidad.</w:t>
      </w:r>
    </w:p>
    <w:p w14:paraId="52A5ADE8" w14:textId="77777777" w:rsidR="00904F35" w:rsidRDefault="00904F35" w:rsidP="00571555">
      <w:pPr>
        <w:pStyle w:val="Prrafodelista"/>
        <w:numPr>
          <w:ilvl w:val="0"/>
          <w:numId w:val="2"/>
        </w:numPr>
        <w:spacing w:after="0" w:line="276" w:lineRule="auto"/>
        <w:jc w:val="both"/>
      </w:pPr>
      <w:r>
        <w:t>Buscar una mayor cobertura de atención en la población potencial.</w:t>
      </w:r>
    </w:p>
    <w:p w14:paraId="390D759F" w14:textId="7B1B6116" w:rsidR="00904F35" w:rsidRDefault="00904F35" w:rsidP="00571555">
      <w:pPr>
        <w:pStyle w:val="Prrafodelista"/>
        <w:numPr>
          <w:ilvl w:val="0"/>
          <w:numId w:val="2"/>
        </w:numPr>
        <w:spacing w:after="0" w:line="276" w:lineRule="auto"/>
        <w:jc w:val="both"/>
      </w:pPr>
      <w:r>
        <w:t>Fomentar en la población con discapacidad la importancia de una atención adecuada, así como también concientizar la inclusión de personas con discapacidad en el ámbito laboral, con el fin de evitar la marginación e impulsar un desarrollo sostenible en el Estado de Sinaloa.</w:t>
      </w:r>
    </w:p>
    <w:p w14:paraId="661619C8" w14:textId="77777777" w:rsidR="00571555" w:rsidRDefault="00AB657D" w:rsidP="00571555">
      <w:pPr>
        <w:pStyle w:val="Prrafodelista"/>
        <w:numPr>
          <w:ilvl w:val="0"/>
          <w:numId w:val="2"/>
        </w:numPr>
        <w:spacing w:after="0" w:line="360" w:lineRule="auto"/>
        <w:jc w:val="both"/>
        <w:rPr>
          <w:lang w:val="es-ES"/>
        </w:rPr>
      </w:pPr>
      <w:r>
        <w:rPr>
          <w:lang w:val="es-ES"/>
        </w:rPr>
        <w:t>Realizar</w:t>
      </w:r>
      <w:r w:rsidRPr="004628FF">
        <w:rPr>
          <w:lang w:val="es-ES"/>
        </w:rPr>
        <w:t xml:space="preserve"> una restructuración de los indicadores que permita conocer más a fondo el desempeño del programa</w:t>
      </w:r>
      <w:r>
        <w:rPr>
          <w:lang w:val="es-ES"/>
        </w:rPr>
        <w:t>.</w:t>
      </w:r>
    </w:p>
    <w:p w14:paraId="6875A774" w14:textId="681AC575" w:rsidR="000D2A1A" w:rsidRPr="00571555" w:rsidRDefault="00AB657D" w:rsidP="00571555">
      <w:pPr>
        <w:pStyle w:val="Prrafodelista"/>
        <w:numPr>
          <w:ilvl w:val="0"/>
          <w:numId w:val="2"/>
        </w:numPr>
        <w:spacing w:after="0" w:line="360" w:lineRule="auto"/>
        <w:jc w:val="both"/>
        <w:rPr>
          <w:lang w:val="es-ES"/>
        </w:rPr>
      </w:pPr>
      <w:r w:rsidRPr="00571555">
        <w:rPr>
          <w:lang w:val="es-ES"/>
        </w:rPr>
        <w:t>Gestionar la actualización la población potencial del programa.</w:t>
      </w: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7EDDA3DA" w:rsidR="007C4CD6" w:rsidRPr="00521401" w:rsidRDefault="00904F35" w:rsidP="00521401">
            <w:pPr>
              <w:spacing w:after="0" w:line="276" w:lineRule="auto"/>
              <w:ind w:left="179"/>
            </w:pPr>
            <w:r>
              <w:t>Atención a Personas con Discapacidad</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01B420A1" w:rsidR="007C4CD6" w:rsidRPr="007C4CD6" w:rsidRDefault="00904F35" w:rsidP="00521401">
            <w:pPr>
              <w:spacing w:after="0" w:line="276" w:lineRule="auto"/>
              <w:ind w:left="179"/>
            </w:pPr>
            <w:r>
              <w:t>APD</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57CBC4F4" w:rsidR="007C4CD6" w:rsidRPr="007C4CD6" w:rsidRDefault="00513380" w:rsidP="00521401">
            <w:pPr>
              <w:spacing w:after="0" w:line="276" w:lineRule="auto"/>
              <w:ind w:left="179"/>
            </w:pPr>
            <w:r>
              <w:t>Sistema para el Desarrollo Integral de la Familia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ED09379" w:rsidR="005A28B9" w:rsidRPr="00A16BE7" w:rsidRDefault="00513380" w:rsidP="00090637">
            <w:pPr>
              <w:spacing w:after="0" w:line="276" w:lineRule="auto"/>
              <w:jc w:val="center"/>
            </w:pPr>
            <w:r>
              <w:t>X</w:t>
            </w:r>
          </w:p>
        </w:tc>
        <w:tc>
          <w:tcPr>
            <w:tcW w:w="2410" w:type="dxa"/>
            <w:shd w:val="clear" w:color="auto" w:fill="auto"/>
            <w:vAlign w:val="center"/>
          </w:tcPr>
          <w:p w14:paraId="208A5616" w14:textId="71F87591"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9D40E5">
        <w:trPr>
          <w:trHeight w:val="340"/>
        </w:trPr>
        <w:tc>
          <w:tcPr>
            <w:tcW w:w="3256" w:type="dxa"/>
            <w:shd w:val="clear" w:color="auto" w:fill="auto"/>
            <w:vAlign w:val="center"/>
          </w:tcPr>
          <w:p w14:paraId="06EEC80E" w14:textId="1D00E254" w:rsidR="00090637" w:rsidRPr="00D913D9" w:rsidRDefault="00090637" w:rsidP="004A0BC4">
            <w:pPr>
              <w:spacing w:after="0" w:line="276" w:lineRule="auto"/>
              <w:rPr>
                <w:bCs/>
              </w:rPr>
            </w:pPr>
          </w:p>
        </w:tc>
        <w:tc>
          <w:tcPr>
            <w:tcW w:w="3402" w:type="dxa"/>
            <w:shd w:val="clear" w:color="auto" w:fill="auto"/>
            <w:vAlign w:val="center"/>
          </w:tcPr>
          <w:p w14:paraId="117D875F" w14:textId="4B70457D" w:rsidR="00090637" w:rsidRPr="00090637" w:rsidRDefault="009D40E5"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9D40E5">
        <w:trPr>
          <w:trHeight w:val="340"/>
        </w:trPr>
        <w:tc>
          <w:tcPr>
            <w:tcW w:w="9910" w:type="dxa"/>
            <w:gridSpan w:val="3"/>
            <w:shd w:val="clear" w:color="auto" w:fill="auto"/>
          </w:tcPr>
          <w:p w14:paraId="7091B8EA" w14:textId="3481039A" w:rsidR="005065B9" w:rsidRPr="00521401" w:rsidRDefault="009D40E5" w:rsidP="005065B9">
            <w:pPr>
              <w:spacing w:after="0" w:line="276" w:lineRule="auto"/>
              <w:ind w:left="179"/>
            </w:pPr>
            <w:r>
              <w:rPr>
                <w:rFonts w:eastAsia="Arial"/>
                <w:color w:val="000000"/>
                <w:szCs w:val="18"/>
              </w:rPr>
              <w:t>Analisbe Lugo Contreras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9D40E5">
        <w:trPr>
          <w:trHeight w:val="340"/>
        </w:trPr>
        <w:tc>
          <w:tcPr>
            <w:tcW w:w="9910" w:type="dxa"/>
            <w:gridSpan w:val="3"/>
            <w:shd w:val="clear" w:color="auto" w:fill="auto"/>
          </w:tcPr>
          <w:p w14:paraId="54E4AA94" w14:textId="7D5F6AE3" w:rsidR="00A4624B" w:rsidRPr="007301C5" w:rsidRDefault="009D40E5" w:rsidP="00A4624B">
            <w:pPr>
              <w:spacing w:after="0" w:line="276" w:lineRule="auto"/>
              <w:ind w:left="179"/>
            </w:pPr>
            <w:hyperlink r:id="rId9" w:history="1">
              <w:r w:rsidRPr="00FD71AF">
                <w:rPr>
                  <w:rStyle w:val="Hipervnculo"/>
                </w:rPr>
                <w:t>ana.lugo@dif.sinaloa.gob.mx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9D40E5">
        <w:trPr>
          <w:trHeight w:val="340"/>
        </w:trPr>
        <w:tc>
          <w:tcPr>
            <w:tcW w:w="9910" w:type="dxa"/>
            <w:gridSpan w:val="3"/>
            <w:shd w:val="clear" w:color="auto" w:fill="auto"/>
            <w:vAlign w:val="center"/>
          </w:tcPr>
          <w:p w14:paraId="138DA773" w14:textId="45B920FB" w:rsidR="004E1FF7" w:rsidRPr="006875B1" w:rsidRDefault="006875B1" w:rsidP="004E1FF7">
            <w:pPr>
              <w:spacing w:after="0" w:line="276" w:lineRule="auto"/>
              <w:ind w:left="179"/>
            </w:pPr>
            <w:r w:rsidRPr="006875B1">
              <w:rPr>
                <w:rFonts w:cstheme="minorHAnsi"/>
                <w:bCs/>
                <w:lang w:eastAsia="es-MX"/>
              </w:rPr>
              <w:t>Dirección de Rehabilitación y Medicina Social</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9D40E5">
        <w:trPr>
          <w:trHeight w:val="340"/>
        </w:trPr>
        <w:tc>
          <w:tcPr>
            <w:tcW w:w="9910" w:type="dxa"/>
            <w:gridSpan w:val="3"/>
            <w:shd w:val="clear" w:color="auto" w:fill="auto"/>
          </w:tcPr>
          <w:p w14:paraId="6F19C066" w14:textId="2A14AD05" w:rsidR="004E1FF7" w:rsidRPr="007301C5" w:rsidRDefault="006875B1" w:rsidP="004E1FF7">
            <w:pPr>
              <w:spacing w:after="0" w:line="276" w:lineRule="auto"/>
              <w:ind w:left="179"/>
            </w:pPr>
            <w:r w:rsidRPr="00052DE9">
              <w:rPr>
                <w:rFonts w:eastAsia="Arial"/>
                <w:color w:val="000000"/>
                <w:szCs w:val="18"/>
              </w:rPr>
              <w:t>66-77-13-90-26</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F6AD4"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F6AD4" w:rsidRPr="00866990" w:rsidRDefault="00AF6AD4" w:rsidP="00AF6AD4">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23F5D58E" w:rsidR="00AF6AD4" w:rsidRPr="00866990" w:rsidRDefault="00AF6AD4" w:rsidP="00AF6AD4">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AF6AD4" w14:paraId="4305D4C3" w14:textId="77777777" w:rsidTr="00C61D21">
        <w:trPr>
          <w:trHeight w:val="340"/>
        </w:trPr>
        <w:tc>
          <w:tcPr>
            <w:tcW w:w="9910" w:type="dxa"/>
            <w:gridSpan w:val="4"/>
            <w:shd w:val="clear" w:color="auto" w:fill="auto"/>
            <w:vAlign w:val="center"/>
          </w:tcPr>
          <w:p w14:paraId="334040E1" w14:textId="23C368BD" w:rsidR="00AF6AD4" w:rsidRPr="00866990" w:rsidRDefault="00AF6AD4" w:rsidP="00AF6AD4">
            <w:pPr>
              <w:spacing w:after="0" w:line="276" w:lineRule="auto"/>
              <w:ind w:left="179"/>
              <w:jc w:val="both"/>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AF6AD4" w14:paraId="5CBDEAA7" w14:textId="77777777" w:rsidTr="00C61D21">
        <w:trPr>
          <w:trHeight w:val="340"/>
        </w:trPr>
        <w:tc>
          <w:tcPr>
            <w:tcW w:w="9910" w:type="dxa"/>
            <w:gridSpan w:val="4"/>
            <w:shd w:val="clear" w:color="auto" w:fill="auto"/>
            <w:vAlign w:val="center"/>
          </w:tcPr>
          <w:p w14:paraId="2A2EB40C" w14:textId="063ACFF5" w:rsidR="00AF6AD4" w:rsidRPr="00866990" w:rsidRDefault="00AF6AD4" w:rsidP="00AF6AD4">
            <w:pPr>
              <w:spacing w:after="0" w:line="276" w:lineRule="auto"/>
              <w:ind w:left="179"/>
              <w:jc w:val="both"/>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AF6AD4" w:rsidRPr="004C435E" w14:paraId="0EF2F8FE" w14:textId="77777777" w:rsidTr="004C435E">
        <w:trPr>
          <w:trHeight w:val="340"/>
        </w:trPr>
        <w:tc>
          <w:tcPr>
            <w:tcW w:w="9910" w:type="dxa"/>
            <w:gridSpan w:val="4"/>
            <w:shd w:val="clear" w:color="auto" w:fill="auto"/>
            <w:vAlign w:val="center"/>
          </w:tcPr>
          <w:p w14:paraId="7D64613A" w14:textId="23844000" w:rsidR="00AF6AD4" w:rsidRPr="00866990" w:rsidRDefault="00AF6AD4" w:rsidP="00AF6AD4">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02AD" w14:textId="77777777" w:rsidR="00010D09" w:rsidRDefault="00010D09" w:rsidP="008E5209">
      <w:pPr>
        <w:spacing w:after="0" w:line="240" w:lineRule="auto"/>
      </w:pPr>
      <w:r>
        <w:separator/>
      </w:r>
    </w:p>
  </w:endnote>
  <w:endnote w:type="continuationSeparator" w:id="0">
    <w:p w14:paraId="49E6597F" w14:textId="77777777" w:rsidR="00010D09" w:rsidRDefault="00010D09"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6D97C0D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71555">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69BC98CD"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571555" w:rsidRPr="00571555">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5A84" w14:textId="77777777" w:rsidR="00010D09" w:rsidRDefault="00010D09" w:rsidP="008E5209">
      <w:pPr>
        <w:spacing w:after="0" w:line="240" w:lineRule="auto"/>
      </w:pPr>
      <w:r>
        <w:separator/>
      </w:r>
    </w:p>
  </w:footnote>
  <w:footnote w:type="continuationSeparator" w:id="0">
    <w:p w14:paraId="66AC9B4E" w14:textId="77777777" w:rsidR="00010D09" w:rsidRDefault="00010D09"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25pt;height:595.5pt" o:bullet="t">
        <v:imagedata r:id="rId1" o:title="03"/>
      </v:shape>
    </w:pict>
  </w:numPicBullet>
  <w:numPicBullet w:numPicBulletId="1">
    <w:pict>
      <v:shape id="_x0000_i1027" type="#_x0000_t75" style="width:282.75pt;height:297.7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B8D36B0"/>
    <w:multiLevelType w:val="hybridMultilevel"/>
    <w:tmpl w:val="65BEA23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853102779">
    <w:abstractNumId w:val="24"/>
  </w:num>
  <w:num w:numId="2" w16cid:durableId="50347435">
    <w:abstractNumId w:val="22"/>
  </w:num>
  <w:num w:numId="3" w16cid:durableId="1101953992">
    <w:abstractNumId w:val="8"/>
  </w:num>
  <w:num w:numId="4" w16cid:durableId="1867399569">
    <w:abstractNumId w:val="20"/>
  </w:num>
  <w:num w:numId="5" w16cid:durableId="1097481760">
    <w:abstractNumId w:val="2"/>
  </w:num>
  <w:num w:numId="6" w16cid:durableId="1663007543">
    <w:abstractNumId w:val="28"/>
  </w:num>
  <w:num w:numId="7" w16cid:durableId="2025394406">
    <w:abstractNumId w:val="29"/>
  </w:num>
  <w:num w:numId="8" w16cid:durableId="702246419">
    <w:abstractNumId w:val="30"/>
  </w:num>
  <w:num w:numId="9" w16cid:durableId="2080900655">
    <w:abstractNumId w:val="21"/>
  </w:num>
  <w:num w:numId="10" w16cid:durableId="109587995">
    <w:abstractNumId w:val="13"/>
  </w:num>
  <w:num w:numId="11" w16cid:durableId="2065063619">
    <w:abstractNumId w:val="15"/>
  </w:num>
  <w:num w:numId="12" w16cid:durableId="1398437791">
    <w:abstractNumId w:val="27"/>
  </w:num>
  <w:num w:numId="13" w16cid:durableId="1627194779">
    <w:abstractNumId w:val="26"/>
  </w:num>
  <w:num w:numId="14" w16cid:durableId="414400508">
    <w:abstractNumId w:val="23"/>
  </w:num>
  <w:num w:numId="15" w16cid:durableId="605577519">
    <w:abstractNumId w:val="17"/>
  </w:num>
  <w:num w:numId="16" w16cid:durableId="187331474">
    <w:abstractNumId w:val="4"/>
  </w:num>
  <w:num w:numId="17" w16cid:durableId="2109766941">
    <w:abstractNumId w:val="7"/>
  </w:num>
  <w:num w:numId="18" w16cid:durableId="924532943">
    <w:abstractNumId w:val="18"/>
  </w:num>
  <w:num w:numId="19" w16cid:durableId="949505459">
    <w:abstractNumId w:val="16"/>
  </w:num>
  <w:num w:numId="20" w16cid:durableId="2091388751">
    <w:abstractNumId w:val="6"/>
  </w:num>
  <w:num w:numId="21" w16cid:durableId="1386684417">
    <w:abstractNumId w:val="3"/>
  </w:num>
  <w:num w:numId="22" w16cid:durableId="1103839851">
    <w:abstractNumId w:val="14"/>
  </w:num>
  <w:num w:numId="23" w16cid:durableId="1248661118">
    <w:abstractNumId w:val="25"/>
  </w:num>
  <w:num w:numId="24" w16cid:durableId="113645662">
    <w:abstractNumId w:val="12"/>
  </w:num>
  <w:num w:numId="25" w16cid:durableId="1286079168">
    <w:abstractNumId w:val="19"/>
  </w:num>
  <w:num w:numId="26" w16cid:durableId="1315913634">
    <w:abstractNumId w:val="9"/>
  </w:num>
  <w:num w:numId="27" w16cid:durableId="1949047525">
    <w:abstractNumId w:val="11"/>
  </w:num>
  <w:num w:numId="28" w16cid:durableId="687870094">
    <w:abstractNumId w:val="0"/>
  </w:num>
  <w:num w:numId="29" w16cid:durableId="206841106">
    <w:abstractNumId w:val="10"/>
  </w:num>
  <w:num w:numId="30" w16cid:durableId="1829899625">
    <w:abstractNumId w:val="1"/>
  </w:num>
  <w:num w:numId="31" w16cid:durableId="81221640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0D09"/>
    <w:rsid w:val="000118B1"/>
    <w:rsid w:val="000134A5"/>
    <w:rsid w:val="00017F38"/>
    <w:rsid w:val="000228F8"/>
    <w:rsid w:val="00023EAD"/>
    <w:rsid w:val="00024AE9"/>
    <w:rsid w:val="000250B5"/>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55E22"/>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0BC4"/>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13380"/>
    <w:rsid w:val="00521401"/>
    <w:rsid w:val="00530B95"/>
    <w:rsid w:val="00531BE3"/>
    <w:rsid w:val="00531C3D"/>
    <w:rsid w:val="005369D7"/>
    <w:rsid w:val="00544072"/>
    <w:rsid w:val="00550AFC"/>
    <w:rsid w:val="00555F51"/>
    <w:rsid w:val="005565AC"/>
    <w:rsid w:val="00564E3C"/>
    <w:rsid w:val="00571555"/>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875B1"/>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04F35"/>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40E5"/>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657D"/>
    <w:rsid w:val="00AC54AF"/>
    <w:rsid w:val="00AC620E"/>
    <w:rsid w:val="00AC6C96"/>
    <w:rsid w:val="00AD0ADD"/>
    <w:rsid w:val="00AE0BD1"/>
    <w:rsid w:val="00AE4E69"/>
    <w:rsid w:val="00AE5C01"/>
    <w:rsid w:val="00AF1BEB"/>
    <w:rsid w:val="00AF2993"/>
    <w:rsid w:val="00AF6AD4"/>
    <w:rsid w:val="00B10612"/>
    <w:rsid w:val="00B20F0E"/>
    <w:rsid w:val="00B21AB0"/>
    <w:rsid w:val="00B22ADF"/>
    <w:rsid w:val="00B24DE7"/>
    <w:rsid w:val="00B31F10"/>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23D95"/>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D751C"/>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lugo@dif.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9292-CE34-4141-9712-CFEB6680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4</TotalTime>
  <Pages>5</Pages>
  <Words>1657</Words>
  <Characters>9115</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2022-06-17T19:35:00Z</cp:lastPrinted>
  <dcterms:created xsi:type="dcterms:W3CDTF">2024-04-24T18:44:00Z</dcterms:created>
  <dcterms:modified xsi:type="dcterms:W3CDTF">2025-01-09T20:40:00Z</dcterms:modified>
</cp:coreProperties>
</file>